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84" w:rsidRDefault="00E93B8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гитара» ПО.01.УП.01</w:t>
      </w:r>
    </w:p>
    <w:p w:rsidR="00E93B84" w:rsidRPr="00684620" w:rsidRDefault="00E93B8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E93B84" w:rsidRPr="00E7130F" w:rsidRDefault="00E93B84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гитара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гитара» (Москва, 2012г.)</w:t>
      </w:r>
    </w:p>
    <w:p w:rsidR="00E93B84" w:rsidRPr="002D4A7E" w:rsidRDefault="00E93B84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E93B84" w:rsidRDefault="00E93B84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E93B84" w:rsidRPr="00BE0265" w:rsidRDefault="00E93B84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B84" w:rsidRPr="00BE0265" w:rsidRDefault="00E93B84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E93B84" w:rsidRPr="00BE0265" w:rsidRDefault="00E93B84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E93B84" w:rsidRPr="00BE0265" w:rsidRDefault="00E93B84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E93B84" w:rsidRPr="00BE0265" w:rsidRDefault="00E93B84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>формирование у учащихся комплекса исполнительских навыков, позволяющих воспринимать,</w:t>
      </w:r>
      <w:r>
        <w:rPr>
          <w:sz w:val="24"/>
          <w:szCs w:val="24"/>
        </w:rPr>
        <w:t xml:space="preserve"> осваивать и исполнять на народном инструменте</w:t>
      </w:r>
      <w:r w:rsidRPr="00BE0265">
        <w:rPr>
          <w:sz w:val="24"/>
          <w:szCs w:val="24"/>
        </w:rPr>
        <w:t xml:space="preserve"> произведения различных жанров и форм в соответствии с ФГТ;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E93B84" w:rsidRPr="00BE0265" w:rsidRDefault="00E93B84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E93B84" w:rsidRPr="002D4A7E" w:rsidRDefault="00E93B84" w:rsidP="00B024FA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93B84" w:rsidRPr="007B10DC" w:rsidRDefault="00E93B84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E93B84" w:rsidRPr="007B10DC" w:rsidRDefault="00E93B84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E93B84" w:rsidRPr="007B10DC" w:rsidRDefault="00E93B84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E93B84" w:rsidRPr="007B10DC" w:rsidRDefault="00E93B84" w:rsidP="00B024FA">
      <w:pPr>
        <w:pStyle w:val="NormalWeb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E93B84" w:rsidRDefault="00E93B84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E93B84" w:rsidRPr="000359F0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E93B84" w:rsidRPr="000359F0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93B84" w:rsidRPr="0073630B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93B84" w:rsidRPr="0073630B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93B84" w:rsidRPr="0073630B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93B84" w:rsidRPr="0073630B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93B84" w:rsidRPr="000359F0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93B84" w:rsidRPr="0073630B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E93B84" w:rsidRPr="000359F0" w:rsidRDefault="00E93B8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93B84" w:rsidRPr="00E7130F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93B84" w:rsidRPr="000359F0" w:rsidRDefault="00E93B84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93B84" w:rsidRPr="0073630B" w:rsidRDefault="00E93B84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E93B84" w:rsidRPr="0073630B" w:rsidRDefault="00E93B8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E93B84" w:rsidRPr="0073630B" w:rsidRDefault="00E93B8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93B84" w:rsidRPr="0073630B" w:rsidRDefault="00E93B84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93B84" w:rsidRPr="0073630B" w:rsidRDefault="00E93B84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E93B84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E93B84" w:rsidRDefault="00E93B84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3B84" w:rsidRPr="0073630B" w:rsidRDefault="00E93B84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Киюта Л.В.</w:t>
      </w:r>
    </w:p>
    <w:p w:rsidR="00E93B84" w:rsidRPr="0073630B" w:rsidRDefault="00E93B84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Касаткина С.В.</w:t>
      </w:r>
    </w:p>
    <w:p w:rsidR="00E93B84" w:rsidRPr="0073630B" w:rsidRDefault="00E93B84" w:rsidP="0073630B">
      <w:pPr>
        <w:rPr>
          <w:rFonts w:cs="Times New Roman"/>
          <w:sz w:val="28"/>
          <w:szCs w:val="28"/>
          <w:lang w:val="ru-RU"/>
        </w:rPr>
      </w:pPr>
    </w:p>
    <w:p w:rsidR="00E93B84" w:rsidRPr="0073630B" w:rsidRDefault="00E93B8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3B84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6E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4C9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2F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B6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0E0E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22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11FB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B84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660</Words>
  <Characters>3762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9</cp:revision>
  <dcterms:created xsi:type="dcterms:W3CDTF">2019-04-24T04:43:00Z</dcterms:created>
  <dcterms:modified xsi:type="dcterms:W3CDTF">2019-05-01T03:13:00Z</dcterms:modified>
</cp:coreProperties>
</file>